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CB413D">
      <w:pPr>
        <w:pStyle w:val="2"/>
      </w:pPr>
      <w:bookmarkStart w:id="0" w:name="_Toc416434845"/>
      <w:r>
        <w:rPr>
          <w:rFonts w:hint="eastAsia"/>
        </w:rPr>
        <w:t>投标保证金</w:t>
      </w:r>
      <w:bookmarkEnd w:id="0"/>
      <w:r>
        <w:rPr>
          <w:rFonts w:hint="eastAsia"/>
        </w:rPr>
        <w:t>情况说明</w:t>
      </w:r>
    </w:p>
    <w:p w14:paraId="1F92B7B3">
      <w:pPr>
        <w:spacing w:line="600" w:lineRule="exact"/>
        <w:rPr>
          <w:rFonts w:asciiTheme="minorEastAsia" w:hAnsiTheme="minorEastAsia" w:eastAsiaTheme="minorEastAsia"/>
          <w:sz w:val="28"/>
          <w:szCs w:val="28"/>
        </w:rPr>
      </w:pPr>
      <w:r>
        <w:rPr>
          <w:rFonts w:asciiTheme="minorEastAsia" w:hAnsiTheme="minorEastAsia" w:eastAsiaTheme="minorEastAsia"/>
          <w:sz w:val="28"/>
          <w:szCs w:val="28"/>
        </w:rPr>
        <w:t>1</w:t>
      </w:r>
      <w:r>
        <w:rPr>
          <w:rFonts w:hint="eastAsia" w:asciiTheme="minorEastAsia" w:hAnsiTheme="minorEastAsia" w:eastAsiaTheme="minorEastAsia"/>
          <w:sz w:val="28"/>
          <w:szCs w:val="28"/>
        </w:rPr>
        <w:t xml:space="preserve">.投标单位应缴纳 </w:t>
      </w:r>
      <w:r>
        <w:rPr>
          <w:rFonts w:asciiTheme="minorEastAsia" w:hAnsiTheme="minorEastAsia" w:eastAsiaTheme="minorEastAsia"/>
          <w:sz w:val="28"/>
          <w:szCs w:val="28"/>
        </w:rPr>
        <w:t>1</w:t>
      </w:r>
      <w:r>
        <w:rPr>
          <w:rFonts w:hint="eastAsia" w:asciiTheme="minorEastAsia" w:hAnsiTheme="minorEastAsia" w:eastAsiaTheme="minorEastAsia"/>
          <w:sz w:val="28"/>
          <w:szCs w:val="28"/>
        </w:rPr>
        <w:t>00</w:t>
      </w:r>
      <w:r>
        <w:rPr>
          <w:rFonts w:asciiTheme="minorEastAsia" w:hAnsiTheme="minorEastAsia" w:eastAsiaTheme="minorEastAsia"/>
          <w:sz w:val="28"/>
          <w:szCs w:val="28"/>
        </w:rPr>
        <w:t>0</w:t>
      </w:r>
      <w:r>
        <w:rPr>
          <w:rFonts w:hint="eastAsia" w:asciiTheme="minorEastAsia" w:hAnsiTheme="minorEastAsia" w:eastAsiaTheme="minorEastAsia"/>
          <w:sz w:val="28"/>
          <w:szCs w:val="28"/>
        </w:rPr>
        <w:t>0元人民币的投标保证金。此投标保证金是投标文件的一个组成部分，投标单位在正式报名</w:t>
      </w:r>
      <w:r>
        <w:rPr>
          <w:rFonts w:asciiTheme="minorEastAsia" w:hAnsiTheme="minorEastAsia" w:eastAsiaTheme="minorEastAsia"/>
          <w:sz w:val="28"/>
          <w:szCs w:val="28"/>
        </w:rPr>
        <w:t>并</w:t>
      </w:r>
      <w:r>
        <w:rPr>
          <w:rFonts w:hint="eastAsia" w:asciiTheme="minorEastAsia" w:hAnsiTheme="minorEastAsia" w:eastAsiaTheme="minorEastAsia"/>
          <w:sz w:val="28"/>
          <w:szCs w:val="28"/>
        </w:rPr>
        <w:t>从</w:t>
      </w:r>
      <w:r>
        <w:rPr>
          <w:rFonts w:asciiTheme="minorEastAsia" w:hAnsiTheme="minorEastAsia" w:eastAsiaTheme="minorEastAsia"/>
          <w:sz w:val="28"/>
          <w:szCs w:val="28"/>
        </w:rPr>
        <w:t>招标方</w:t>
      </w:r>
      <w:r>
        <w:rPr>
          <w:rFonts w:hint="eastAsia" w:asciiTheme="minorEastAsia" w:hAnsiTheme="minorEastAsia" w:eastAsiaTheme="minorEastAsia"/>
          <w:sz w:val="28"/>
          <w:szCs w:val="28"/>
        </w:rPr>
        <w:t>领取招标文件后3天内（不含法定节假日）交招标单位，并不得晚于报名截止时间。</w:t>
      </w:r>
    </w:p>
    <w:p w14:paraId="5A9E0F24">
      <w:pPr>
        <w:spacing w:line="600" w:lineRule="exact"/>
        <w:rPr>
          <w:rFonts w:asciiTheme="minorEastAsia" w:hAnsiTheme="minorEastAsia" w:eastAsiaTheme="minorEastAsia"/>
          <w:sz w:val="28"/>
          <w:szCs w:val="28"/>
        </w:rPr>
      </w:pPr>
      <w:r>
        <w:rPr>
          <w:rFonts w:asciiTheme="minorEastAsia" w:hAnsiTheme="minorEastAsia" w:eastAsiaTheme="minorEastAsia"/>
          <w:sz w:val="28"/>
          <w:szCs w:val="28"/>
        </w:rPr>
        <w:t>2.</w:t>
      </w:r>
      <w:r>
        <w:rPr>
          <w:rFonts w:hint="eastAsia" w:asciiTheme="minorEastAsia" w:hAnsiTheme="minorEastAsia" w:eastAsiaTheme="minorEastAsia"/>
          <w:sz w:val="28"/>
          <w:szCs w:val="28"/>
        </w:rPr>
        <w:t>投标保证金必须从投标单位基本账户转出或汇出，不得以个人名义或其它公司的名义交纳。采用同城转账、异地电汇方式汇款至：</w:t>
      </w:r>
    </w:p>
    <w:p w14:paraId="7CB7ABFF">
      <w:pPr>
        <w:spacing w:line="6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户  名：河北传媒学院</w:t>
      </w:r>
    </w:p>
    <w:p w14:paraId="2D4E4043">
      <w:pPr>
        <w:spacing w:line="6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开户行：河北银行槐北路支行</w:t>
      </w:r>
    </w:p>
    <w:p w14:paraId="2E041019">
      <w:pPr>
        <w:spacing w:line="6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帐  号：01391900000426</w:t>
      </w:r>
    </w:p>
    <w:p w14:paraId="6CEA6D0A">
      <w:pPr>
        <w:spacing w:line="600" w:lineRule="exact"/>
        <w:rPr>
          <w:rFonts w:asciiTheme="minorEastAsia" w:hAnsiTheme="minorEastAsia" w:eastAsiaTheme="minorEastAsia"/>
          <w:sz w:val="28"/>
          <w:szCs w:val="28"/>
        </w:rPr>
      </w:pPr>
      <w:r>
        <w:rPr>
          <w:rFonts w:asciiTheme="minorEastAsia" w:hAnsiTheme="minorEastAsia" w:eastAsiaTheme="minorEastAsia"/>
          <w:sz w:val="28"/>
          <w:szCs w:val="28"/>
        </w:rPr>
        <w:t>3.</w:t>
      </w:r>
      <w:r>
        <w:rPr>
          <w:rFonts w:hint="eastAsia" w:asciiTheme="minorEastAsia" w:hAnsiTheme="minorEastAsia" w:eastAsiaTheme="minorEastAsia"/>
          <w:sz w:val="28"/>
          <w:szCs w:val="28"/>
        </w:rPr>
        <w:t>投标单位缴纳投标保证金后在开标前将付款凭证复印件或扫描件交至</w:t>
      </w:r>
      <w:r>
        <w:rPr>
          <w:rFonts w:hint="eastAsia" w:asciiTheme="minorEastAsia" w:hAnsiTheme="minorEastAsia" w:eastAsiaTheme="minorEastAsia"/>
          <w:sz w:val="28"/>
          <w:szCs w:val="28"/>
          <w:lang w:val="en-US" w:eastAsia="zh-CN"/>
        </w:rPr>
        <w:t>报名邮箱</w:t>
      </w:r>
      <w:r>
        <w:rPr>
          <w:rFonts w:hint="eastAsia" w:asciiTheme="minorEastAsia" w:hAnsiTheme="minorEastAsia" w:eastAsiaTheme="minorEastAsia"/>
          <w:sz w:val="28"/>
          <w:szCs w:val="28"/>
        </w:rPr>
        <w:t>。</w:t>
      </w:r>
      <w:bookmarkStart w:id="1" w:name="_GoBack"/>
      <w:bookmarkEnd w:id="1"/>
    </w:p>
    <w:p w14:paraId="7866104A">
      <w:pPr>
        <w:spacing w:line="600" w:lineRule="exact"/>
        <w:rPr>
          <w:rFonts w:asciiTheme="minorEastAsia" w:hAnsiTheme="minorEastAsia" w:eastAsiaTheme="minorEastAsia"/>
          <w:sz w:val="28"/>
          <w:szCs w:val="28"/>
        </w:rPr>
      </w:pPr>
      <w:r>
        <w:rPr>
          <w:rFonts w:asciiTheme="minorEastAsia" w:hAnsiTheme="minorEastAsia" w:eastAsiaTheme="minorEastAsia"/>
          <w:sz w:val="28"/>
          <w:szCs w:val="28"/>
        </w:rPr>
        <w:t>4.</w:t>
      </w:r>
      <w:r>
        <w:rPr>
          <w:rFonts w:hint="eastAsia" w:asciiTheme="minorEastAsia" w:hAnsiTheme="minorEastAsia" w:eastAsiaTheme="minorEastAsia"/>
          <w:sz w:val="28"/>
          <w:szCs w:val="28"/>
        </w:rPr>
        <w:t>投标单位应如期、足额交纳保证金，在开标验证时，由监标人和评标专家核查投标保证金银行进帐单凭证（本进帐单由招标单位提供），对于非因招标单位原因，未能提供银行进帐单凭证或凭证数额与规定数额不相符的，将视为不响应招标文件而拒绝其投标。</w:t>
      </w:r>
    </w:p>
    <w:p w14:paraId="7E8BEA3B">
      <w:pPr>
        <w:spacing w:line="600" w:lineRule="exact"/>
        <w:rPr>
          <w:rFonts w:asciiTheme="minorEastAsia" w:hAnsiTheme="minorEastAsia" w:eastAsiaTheme="minorEastAsia"/>
          <w:b/>
          <w:sz w:val="28"/>
          <w:szCs w:val="28"/>
        </w:rPr>
      </w:pPr>
      <w:r>
        <w:rPr>
          <w:rFonts w:asciiTheme="minorEastAsia" w:hAnsiTheme="minorEastAsia" w:eastAsiaTheme="minorEastAsia"/>
          <w:b/>
          <w:sz w:val="28"/>
          <w:szCs w:val="28"/>
        </w:rPr>
        <w:t>5.</w:t>
      </w:r>
      <w:r>
        <w:rPr>
          <w:rFonts w:hint="eastAsia" w:asciiTheme="minorEastAsia" w:hAnsiTheme="minorEastAsia" w:eastAsiaTheme="minorEastAsia"/>
          <w:b/>
          <w:sz w:val="28"/>
          <w:szCs w:val="28"/>
        </w:rPr>
        <w:t>如投标单位在投标时有下列情况之一时，将被扣罚全部投标保证金：</w:t>
      </w:r>
    </w:p>
    <w:p w14:paraId="58A5C34E">
      <w:pPr>
        <w:spacing w:line="60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（1）在投标截止日期没有送交投标文件的； </w:t>
      </w:r>
    </w:p>
    <w:p w14:paraId="6A427A80">
      <w:pPr>
        <w:spacing w:line="60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（2）投标单位在开标前退出投标，或在评标过程中弃标的；</w:t>
      </w:r>
    </w:p>
    <w:p w14:paraId="1362614F">
      <w:pPr>
        <w:spacing w:line="600" w:lineRule="exact"/>
        <w:ind w:firstLine="562" w:firstLineChars="200"/>
        <w:rPr>
          <w:rFonts w:asciiTheme="minorEastAsia" w:hAnsiTheme="minorEastAsia" w:eastAsiaTheme="minorEastAsia"/>
          <w:b/>
          <w:sz w:val="28"/>
          <w:szCs w:val="28"/>
        </w:rPr>
      </w:pPr>
      <w:r>
        <w:rPr>
          <w:rFonts w:hint="eastAsia" w:asciiTheme="minorEastAsia" w:hAnsiTheme="minorEastAsia" w:eastAsiaTheme="minorEastAsia"/>
          <w:b/>
          <w:sz w:val="28"/>
          <w:szCs w:val="28"/>
        </w:rPr>
        <w:t>（3）投标单位法定代表人或授权代理人未参加开标会议，或参加开标会议但无有效证件的，或虽到会但迟到15分钟以上的；</w:t>
      </w:r>
    </w:p>
    <w:p w14:paraId="403BE140">
      <w:pPr>
        <w:spacing w:line="60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（4）在评标过程中，评标委员会发现投标单位以他人的名义投标、串通投标、以行贿手段谋取中标或者以其它弄虚作假方式投标的；</w:t>
      </w:r>
    </w:p>
    <w:p w14:paraId="543D2E03">
      <w:pPr>
        <w:spacing w:line="60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（5）在评标会结束后，非招标人原因，中标单位放弃中标的；</w:t>
      </w:r>
    </w:p>
    <w:p w14:paraId="4A1B1A28">
      <w:pPr>
        <w:spacing w:line="60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（6）不按规定时限、全额提交履约保证金的；</w:t>
      </w:r>
    </w:p>
    <w:p w14:paraId="0CC74E0C">
      <w:pPr>
        <w:spacing w:line="60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（7）中标人未在投标有效期限签署合同协议的。</w:t>
      </w:r>
    </w:p>
    <w:p w14:paraId="5509C9D8">
      <w:pPr>
        <w:spacing w:line="60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6.保证金</w:t>
      </w:r>
      <w:r>
        <w:rPr>
          <w:rFonts w:asciiTheme="minorEastAsia" w:hAnsiTheme="minorEastAsia" w:eastAsiaTheme="minorEastAsia"/>
          <w:sz w:val="28"/>
          <w:szCs w:val="28"/>
        </w:rPr>
        <w:t>退还</w:t>
      </w:r>
    </w:p>
    <w:p w14:paraId="7391591A">
      <w:pPr>
        <w:spacing w:line="60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（1）中标方的投标保证金在中标方与招标方签订合同后转为履约保证金后，待工程结束</w:t>
      </w:r>
      <w:r>
        <w:rPr>
          <w:rFonts w:asciiTheme="minorEastAsia" w:hAnsiTheme="minorEastAsia" w:eastAsiaTheme="minorEastAsia"/>
          <w:sz w:val="28"/>
          <w:szCs w:val="28"/>
        </w:rPr>
        <w:t>，招标方</w:t>
      </w:r>
      <w:r>
        <w:rPr>
          <w:rFonts w:hint="eastAsia" w:asciiTheme="minorEastAsia" w:hAnsiTheme="minorEastAsia" w:eastAsiaTheme="minorEastAsia"/>
          <w:sz w:val="28"/>
          <w:szCs w:val="28"/>
        </w:rPr>
        <w:t>验收合格后10个工作日内无息退还。</w:t>
      </w:r>
    </w:p>
    <w:p w14:paraId="2A144165">
      <w:pPr>
        <w:spacing w:line="60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（2）未中标方的投标保证金在中标方与招标方签订的合同生效后10个工作日内无息退还。</w:t>
      </w:r>
    </w:p>
    <w:p w14:paraId="661D7869">
      <w:pPr>
        <w:spacing w:line="600" w:lineRule="exact"/>
        <w:ind w:firstLine="560" w:firstLineChars="200"/>
        <w:rPr>
          <w:rFonts w:asciiTheme="minorEastAsia" w:hAnsiTheme="minorEastAsia" w:eastAsiaTheme="minorEastAsia"/>
          <w:sz w:val="28"/>
          <w:szCs w:val="28"/>
        </w:rPr>
      </w:pPr>
    </w:p>
    <w:p w14:paraId="13A1413E">
      <w:pPr>
        <w:spacing w:line="240" w:lineRule="auto"/>
        <w:jc w:val="left"/>
      </w:pPr>
    </w:p>
    <w:sectPr>
      <w:pgSz w:w="11906" w:h="16838"/>
      <w:pgMar w:top="567" w:right="1797" w:bottom="567" w:left="1797" w:header="851" w:footer="992" w:gutter="0"/>
      <w:cols w:space="425"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20"/>
  <w:drawingGridVerticalSpacing w:val="163"/>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5B45"/>
    <w:rsid w:val="001B5AE1"/>
    <w:rsid w:val="0021539D"/>
    <w:rsid w:val="002C67B0"/>
    <w:rsid w:val="003C262D"/>
    <w:rsid w:val="003F5B45"/>
    <w:rsid w:val="005F7D15"/>
    <w:rsid w:val="006966F1"/>
    <w:rsid w:val="00876E16"/>
    <w:rsid w:val="009A20E1"/>
    <w:rsid w:val="00A43125"/>
    <w:rsid w:val="00BB1738"/>
    <w:rsid w:val="00D366A1"/>
    <w:rsid w:val="00D86B37"/>
    <w:rsid w:val="00DB5B7B"/>
    <w:rsid w:val="00F35CC2"/>
    <w:rsid w:val="00F528D5"/>
    <w:rsid w:val="00F95F55"/>
    <w:rsid w:val="00FD7922"/>
    <w:rsid w:val="6F3030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nhideWhenUsed="0" w:uiPriority="99" w:semiHidden="0" w:name="Table Subtle 1"/>
    <w:lsdException w:uiPriority="99" w:name="Table Subtle 2"/>
    <w:lsdException w:uiPriority="99" w:name="Table Web 1"/>
    <w:lsdException w:unhideWhenUsed="0" w:uiPriority="99" w:semiHidden="0" w:name="Table Web 2"/>
    <w:lsdException w:unhideWhenUsed="0" w:uiPriority="99" w:semiHidden="0"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0" w:lineRule="auto"/>
      <w:jc w:val="both"/>
    </w:pPr>
    <w:rPr>
      <w:rFonts w:ascii="Arial" w:hAnsi="Arial" w:eastAsia="宋体" w:cs="Times New Roman"/>
      <w:kern w:val="0"/>
      <w:sz w:val="24"/>
      <w:szCs w:val="20"/>
      <w:lang w:val="en-US" w:eastAsia="zh-CN" w:bidi="ar-SA"/>
    </w:rPr>
  </w:style>
  <w:style w:type="paragraph" w:styleId="2">
    <w:name w:val="heading 3"/>
    <w:basedOn w:val="1"/>
    <w:next w:val="1"/>
    <w:link w:val="10"/>
    <w:autoRedefine/>
    <w:qFormat/>
    <w:uiPriority w:val="0"/>
    <w:pPr>
      <w:keepNext/>
      <w:keepLines/>
      <w:spacing w:before="160" w:after="160"/>
      <w:jc w:val="center"/>
      <w:outlineLvl w:val="2"/>
    </w:pPr>
    <w:rPr>
      <w:rFonts w:asciiTheme="minorEastAsia" w:hAnsiTheme="minorEastAsia" w:eastAsiaTheme="minorEastAsia"/>
      <w:b/>
      <w:bCs/>
      <w:sz w:val="40"/>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1"/>
    <w:semiHidden/>
    <w:unhideWhenUsed/>
    <w:qFormat/>
    <w:uiPriority w:val="99"/>
    <w:pPr>
      <w:spacing w:line="240" w:lineRule="auto"/>
    </w:pPr>
    <w:rPr>
      <w:sz w:val="18"/>
      <w:szCs w:val="18"/>
    </w:rPr>
  </w:style>
  <w:style w:type="paragraph" w:styleId="4">
    <w:name w:val="footer"/>
    <w:basedOn w:val="1"/>
    <w:link w:val="9"/>
    <w:unhideWhenUsed/>
    <w:uiPriority w:val="99"/>
    <w:pPr>
      <w:widowControl w:val="0"/>
      <w:tabs>
        <w:tab w:val="center" w:pos="4153"/>
        <w:tab w:val="right" w:pos="8306"/>
      </w:tabs>
      <w:snapToGrid w:val="0"/>
      <w:spacing w:line="240" w:lineRule="auto"/>
      <w:jc w:val="left"/>
    </w:pPr>
    <w:rPr>
      <w:rFonts w:asciiTheme="minorHAnsi" w:hAnsiTheme="minorHAnsi" w:eastAsiaTheme="minorEastAsia" w:cstheme="minorBidi"/>
      <w:kern w:val="2"/>
      <w:sz w:val="18"/>
      <w:szCs w:val="18"/>
    </w:rPr>
  </w:style>
  <w:style w:type="paragraph" w:styleId="5">
    <w:name w:val="header"/>
    <w:basedOn w:val="1"/>
    <w:link w:val="8"/>
    <w:unhideWhenUsed/>
    <w:uiPriority w:val="99"/>
    <w:pPr>
      <w:widowControl w:val="0"/>
      <w:pBdr>
        <w:bottom w:val="single" w:color="auto" w:sz="6" w:space="1"/>
      </w:pBdr>
      <w:tabs>
        <w:tab w:val="center" w:pos="4153"/>
        <w:tab w:val="right" w:pos="8306"/>
      </w:tabs>
      <w:snapToGrid w:val="0"/>
      <w:spacing w:line="240" w:lineRule="auto"/>
      <w:jc w:val="center"/>
    </w:pPr>
    <w:rPr>
      <w:rFonts w:asciiTheme="minorHAnsi" w:hAnsiTheme="minorHAnsi" w:eastAsiaTheme="minorEastAsia" w:cstheme="minorBidi"/>
      <w:kern w:val="2"/>
      <w:sz w:val="18"/>
      <w:szCs w:val="18"/>
    </w:rPr>
  </w:style>
  <w:style w:type="character" w:customStyle="1" w:styleId="8">
    <w:name w:val="页眉 字符"/>
    <w:basedOn w:val="7"/>
    <w:link w:val="5"/>
    <w:uiPriority w:val="99"/>
    <w:rPr>
      <w:sz w:val="18"/>
      <w:szCs w:val="18"/>
    </w:rPr>
  </w:style>
  <w:style w:type="character" w:customStyle="1" w:styleId="9">
    <w:name w:val="页脚 字符"/>
    <w:basedOn w:val="7"/>
    <w:link w:val="4"/>
    <w:uiPriority w:val="99"/>
    <w:rPr>
      <w:sz w:val="18"/>
      <w:szCs w:val="18"/>
    </w:rPr>
  </w:style>
  <w:style w:type="character" w:customStyle="1" w:styleId="10">
    <w:name w:val="标题 3 字符"/>
    <w:basedOn w:val="7"/>
    <w:link w:val="2"/>
    <w:qFormat/>
    <w:uiPriority w:val="0"/>
    <w:rPr>
      <w:rFonts w:cs="Times New Roman" w:asciiTheme="minorEastAsia" w:hAnsiTheme="minorEastAsia"/>
      <w:b/>
      <w:bCs/>
      <w:kern w:val="0"/>
      <w:sz w:val="40"/>
      <w:szCs w:val="32"/>
    </w:rPr>
  </w:style>
  <w:style w:type="character" w:customStyle="1" w:styleId="11">
    <w:name w:val="批注框文本 字符"/>
    <w:basedOn w:val="7"/>
    <w:link w:val="3"/>
    <w:semiHidden/>
    <w:uiPriority w:val="99"/>
    <w:rPr>
      <w:rFonts w:ascii="Arial" w:hAnsi="Arial" w:eastAsia="宋体" w:cs="Times New Roman"/>
      <w:kern w:val="0"/>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24E699-3079-47FD-9C51-99C613F726ED}">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2</Pages>
  <Words>705</Words>
  <Characters>731</Characters>
  <Lines>5</Lines>
  <Paragraphs>1</Paragraphs>
  <TotalTime>32</TotalTime>
  <ScaleCrop>false</ScaleCrop>
  <LinksUpToDate>false</LinksUpToDate>
  <CharactersWithSpaces>737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2017-07-10T08:32:00Z</dcterms:created>
  <dc:creator>W</dc:creator>
  <cp:lastModifiedBy>卓子</cp:lastModifiedBy>
  <cp:lastPrinted>2017-07-10T23:32:00Z</cp:lastPrinted>
  <dcterms:modified xsi:type="dcterms:W3CDTF">2026-07-06T03:53:15Z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eyJoZGlkIjoiNDQ2ZWQ1NGMzM2FkMDAzMzU0NjE1MjdmYTYyM2JiYWYiLCJ1c2VySWQiOiI5NjQ2NTY3ODUifQ==</vt:lpwstr>
  </property>
  <property fmtid="{D5CDD505-2E9C-101B-9397-08002B2CF9AE}" pid="3" name="KSOProductBuildVer">
    <vt:lpwstr>2052-12.1.0.26375</vt:lpwstr>
  </property>
  <property fmtid="{D5CDD505-2E9C-101B-9397-08002B2CF9AE}" pid="4" name="ICV">
    <vt:lpwstr>7E6722F64B84487AA8CE1DC6C19B2F4D_12</vt:lpwstr>
  </property>
</Properties>
</file>